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spacing w:line="52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建筑材料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供应商</w:t>
      </w:r>
      <w:r>
        <w:rPr>
          <w:rFonts w:hint="eastAsia" w:ascii="方正小标宋简体" w:hAnsi="方正小标宋简体" w:eastAsia="方正小标宋简体" w:cs="方正小标宋简体"/>
        </w:rPr>
        <w:t>管理制度</w:t>
      </w:r>
    </w:p>
    <w:p>
      <w:pPr>
        <w:pStyle w:val="3"/>
        <w:spacing w:line="360" w:lineRule="auto"/>
        <w:jc w:val="center"/>
      </w:pPr>
      <w:r>
        <w:rPr>
          <w:rFonts w:hint="eastAsia"/>
        </w:rPr>
        <w:t>第一章 总 则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为加强公司材料（设备）供应的管理，完善供应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</w:t>
      </w:r>
      <w:r>
        <w:rPr>
          <w:rFonts w:hint="eastAsia" w:ascii="仿宋" w:hAnsi="仿宋" w:eastAsia="仿宋" w:cs="仿宋"/>
          <w:sz w:val="32"/>
          <w:szCs w:val="32"/>
        </w:rPr>
        <w:t>的优胜劣汰管理机制，确保材料（设备）供应质量、安全、进度、服务和工程成本受到有效控制，根据《中华人民共和国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民法典</w:t>
      </w:r>
      <w:r>
        <w:rPr>
          <w:rFonts w:hint="eastAsia" w:ascii="仿宋" w:hAnsi="仿宋" w:eastAsia="仿宋" w:cs="仿宋"/>
          <w:sz w:val="32"/>
          <w:szCs w:val="32"/>
        </w:rPr>
        <w:t>》、《中华人民共和国建筑法》、《中华人民共和国招投标法》、《中华人民共和国建设工程质量管理条例》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公司“泉一建[2021]59号关于印发《公司工程施工班组分包管理暂行规定》、《公司工程所需材料采购管理暂行规定》”、泉一建纪[2022]10号会议纪要</w:t>
      </w:r>
      <w:r>
        <w:rPr>
          <w:rFonts w:hint="eastAsia" w:ascii="仿宋" w:hAnsi="仿宋" w:eastAsia="仿宋" w:cs="仿宋"/>
          <w:sz w:val="32"/>
          <w:szCs w:val="32"/>
        </w:rPr>
        <w:t>等相关法律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法规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制度、纪要</w:t>
      </w:r>
      <w:r>
        <w:rPr>
          <w:rFonts w:hint="eastAsia" w:ascii="仿宋" w:hAnsi="仿宋" w:eastAsia="仿宋" w:cs="仿宋"/>
          <w:sz w:val="32"/>
          <w:szCs w:val="32"/>
        </w:rPr>
        <w:t>，特制订本管理制度，对供应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</w:t>
      </w:r>
      <w:r>
        <w:rPr>
          <w:rFonts w:hint="eastAsia" w:ascii="仿宋" w:hAnsi="仿宋" w:eastAsia="仿宋" w:cs="仿宋"/>
          <w:sz w:val="32"/>
          <w:szCs w:val="32"/>
        </w:rPr>
        <w:t>的选择、评价、使用、过程和业绩评定做出了管理规定，以确保材料供应、机械设备使用的质量、环境与职业健康安全符合相关法律规定和上级部门的要求。</w:t>
      </w:r>
    </w:p>
    <w:p>
      <w:pPr>
        <w:spacing w:line="52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 xml:space="preserve"> 本管理制度适用于公司对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的管理与控制。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所有合格的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材料供应商</w:t>
      </w:r>
      <w:r>
        <w:rPr>
          <w:rFonts w:hint="eastAsia" w:ascii="仿宋" w:hAnsi="仿宋" w:eastAsia="仿宋" w:cs="仿宋"/>
          <w:sz w:val="32"/>
          <w:szCs w:val="32"/>
        </w:rPr>
        <w:t>均注册并核准进入“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公司供应商</w:t>
      </w:r>
      <w:r>
        <w:rPr>
          <w:rFonts w:hint="eastAsia" w:ascii="仿宋" w:hAnsi="仿宋" w:eastAsia="仿宋" w:cs="仿宋"/>
          <w:sz w:val="32"/>
          <w:szCs w:val="32"/>
        </w:rPr>
        <w:t>平台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库</w:t>
      </w:r>
      <w:r>
        <w:rPr>
          <w:rFonts w:hint="eastAsia" w:ascii="仿宋" w:hAnsi="仿宋" w:eastAsia="仿宋" w:cs="仿宋"/>
          <w:sz w:val="32"/>
          <w:szCs w:val="32"/>
        </w:rPr>
        <w:t>” 。</w:t>
      </w:r>
    </w:p>
    <w:p>
      <w:pPr>
        <w:pStyle w:val="3"/>
        <w:spacing w:line="360" w:lineRule="auto"/>
        <w:jc w:val="center"/>
      </w:pPr>
      <w:r>
        <w:rPr>
          <w:rFonts w:hint="eastAsia"/>
        </w:rPr>
        <w:t>第二章 管理职责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 xml:space="preserve"> 本制度由公司经营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科（含成控、预算）</w:t>
      </w:r>
      <w:r>
        <w:rPr>
          <w:rFonts w:hint="eastAsia" w:ascii="仿宋" w:hAnsi="仿宋" w:eastAsia="仿宋" w:cs="仿宋"/>
          <w:sz w:val="32"/>
          <w:szCs w:val="32"/>
        </w:rPr>
        <w:t>、法务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</w:t>
      </w:r>
      <w:r>
        <w:rPr>
          <w:rFonts w:hint="eastAsia" w:ascii="仿宋" w:hAnsi="仿宋" w:eastAsia="仿宋" w:cs="仿宋"/>
          <w:sz w:val="32"/>
          <w:szCs w:val="32"/>
        </w:rPr>
        <w:t>、财务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人秘科、综合科</w:t>
      </w:r>
      <w:r>
        <w:rPr>
          <w:rFonts w:hint="eastAsia" w:ascii="仿宋" w:hAnsi="仿宋" w:eastAsia="仿宋" w:cs="仿宋"/>
          <w:sz w:val="32"/>
          <w:szCs w:val="32"/>
        </w:rPr>
        <w:t>等部门及项目部进行具体实施。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）材料供应商</w:t>
      </w:r>
      <w:r>
        <w:rPr>
          <w:rFonts w:hint="eastAsia" w:ascii="仿宋" w:hAnsi="仿宋" w:eastAsia="仿宋" w:cs="仿宋"/>
          <w:sz w:val="32"/>
          <w:szCs w:val="32"/>
        </w:rPr>
        <w:t>选择、评审及管理工作：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主管领导：企业总经理；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领导小组成员：企业副总、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企业经营副总</w:t>
      </w:r>
      <w:r>
        <w:rPr>
          <w:rFonts w:hint="eastAsia" w:ascii="仿宋" w:hAnsi="仿宋" w:eastAsia="仿宋" w:cs="仿宋"/>
          <w:sz w:val="32"/>
          <w:szCs w:val="32"/>
        </w:rPr>
        <w:t xml:space="preserve"> 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选择和评审工作小组：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  长：企业总经理；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副组长：企业经营副总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组  员：经营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科（含成控、预算）</w:t>
      </w:r>
      <w:r>
        <w:rPr>
          <w:rFonts w:hint="eastAsia" w:ascii="仿宋" w:hAnsi="仿宋" w:eastAsia="仿宋" w:cs="仿宋"/>
          <w:sz w:val="32"/>
          <w:szCs w:val="32"/>
        </w:rPr>
        <w:t>、法务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</w:t>
      </w:r>
      <w:r>
        <w:rPr>
          <w:rFonts w:hint="eastAsia" w:ascii="仿宋" w:hAnsi="仿宋" w:eastAsia="仿宋" w:cs="仿宋"/>
          <w:sz w:val="32"/>
          <w:szCs w:val="32"/>
        </w:rPr>
        <w:t>、财务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人秘科、综合科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科室负责人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律部门</w:t>
      </w:r>
      <w:r>
        <w:rPr>
          <w:rFonts w:hint="eastAsia" w:ascii="仿宋" w:hAnsi="仿宋" w:eastAsia="仿宋" w:cs="仿宋"/>
          <w:sz w:val="32"/>
          <w:szCs w:val="32"/>
        </w:rPr>
        <w:t>：对招投标、评审等活动随时进行监督。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（四）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企业经营副总</w:t>
      </w:r>
      <w:r>
        <w:rPr>
          <w:rFonts w:hint="eastAsia" w:ascii="仿宋" w:hAnsi="仿宋" w:eastAsia="仿宋" w:cs="仿宋"/>
          <w:sz w:val="32"/>
          <w:szCs w:val="32"/>
        </w:rPr>
        <w:t>：负责分材料供应业务需求申请的核准；负责指导、检查项目部对供应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</w:t>
      </w:r>
      <w:r>
        <w:rPr>
          <w:rFonts w:hint="eastAsia" w:ascii="仿宋" w:hAnsi="仿宋" w:eastAsia="仿宋" w:cs="仿宋"/>
          <w:sz w:val="32"/>
          <w:szCs w:val="32"/>
        </w:rPr>
        <w:t>的施工过程控制；负责对供应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</w:t>
      </w:r>
      <w:r>
        <w:rPr>
          <w:rFonts w:hint="eastAsia" w:ascii="仿宋" w:hAnsi="仿宋" w:eastAsia="仿宋" w:cs="仿宋"/>
          <w:sz w:val="32"/>
          <w:szCs w:val="32"/>
        </w:rPr>
        <w:t>的业绩评价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（五）经营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科（含成控、预算）</w:t>
      </w:r>
      <w:r>
        <w:rPr>
          <w:rFonts w:hint="eastAsia" w:ascii="仿宋" w:hAnsi="仿宋" w:eastAsia="仿宋" w:cs="仿宋"/>
          <w:sz w:val="32"/>
          <w:szCs w:val="32"/>
        </w:rPr>
        <w:t>：负责对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</w:rPr>
        <w:t>供应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</w:t>
      </w:r>
      <w:r>
        <w:rPr>
          <w:rFonts w:hint="eastAsia" w:ascii="仿宋" w:hAnsi="仿宋" w:eastAsia="仿宋" w:cs="仿宋"/>
          <w:sz w:val="32"/>
          <w:szCs w:val="32"/>
        </w:rPr>
        <w:t>《合格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</w:rPr>
        <w:t>供应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</w:t>
      </w:r>
      <w:r>
        <w:rPr>
          <w:rFonts w:hint="eastAsia" w:ascii="仿宋" w:hAnsi="仿宋" w:eastAsia="仿宋" w:cs="仿宋"/>
          <w:sz w:val="32"/>
          <w:szCs w:val="32"/>
        </w:rPr>
        <w:t>名录》的维护和管理。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（六）业务科：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</w:rPr>
        <w:t>供应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</w:t>
      </w:r>
      <w:r>
        <w:rPr>
          <w:rFonts w:hint="eastAsia" w:ascii="仿宋" w:hAnsi="仿宋" w:eastAsia="仿宋" w:cs="仿宋"/>
          <w:sz w:val="32"/>
          <w:szCs w:val="32"/>
        </w:rPr>
        <w:t>进行资质能力评价；负责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</w:rPr>
        <w:t>供应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</w:t>
      </w:r>
      <w:r>
        <w:rPr>
          <w:rFonts w:hint="eastAsia" w:ascii="仿宋" w:hAnsi="仿宋" w:eastAsia="仿宋" w:cs="仿宋"/>
          <w:sz w:val="32"/>
          <w:szCs w:val="32"/>
        </w:rPr>
        <w:t>资质能力复核和合同文本的评审和签订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（七）法务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</w:t>
      </w:r>
      <w:r>
        <w:rPr>
          <w:rFonts w:hint="eastAsia" w:ascii="仿宋" w:hAnsi="仿宋" w:eastAsia="仿宋" w:cs="仿宋"/>
          <w:sz w:val="32"/>
          <w:szCs w:val="32"/>
        </w:rPr>
        <w:t>：做好对合同风险防控措施，处理与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施工分包（供）商</w:t>
      </w:r>
      <w:r>
        <w:rPr>
          <w:rFonts w:hint="eastAsia" w:ascii="仿宋" w:hAnsi="仿宋" w:eastAsia="仿宋" w:cs="仿宋"/>
          <w:sz w:val="32"/>
          <w:szCs w:val="32"/>
        </w:rPr>
        <w:t>相关的纠纷、诉讼等事件。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（九）财务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</w:t>
      </w:r>
      <w:r>
        <w:rPr>
          <w:rFonts w:hint="eastAsia" w:ascii="仿宋" w:hAnsi="仿宋" w:eastAsia="仿宋" w:cs="仿宋"/>
          <w:sz w:val="32"/>
          <w:szCs w:val="32"/>
        </w:rPr>
        <w:t>：负责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</w:rPr>
        <w:t>供应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商材料</w:t>
      </w:r>
      <w:r>
        <w:rPr>
          <w:rFonts w:hint="eastAsia" w:ascii="仿宋" w:hAnsi="仿宋" w:eastAsia="仿宋" w:cs="仿宋"/>
          <w:sz w:val="32"/>
          <w:szCs w:val="32"/>
        </w:rPr>
        <w:t>款、结算款等的支付；办理各类与材料供应相关的税收事宜。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采购跟单</w:t>
      </w:r>
      <w:r>
        <w:rPr>
          <w:rFonts w:hint="eastAsia" w:ascii="仿宋" w:hAnsi="仿宋" w:eastAsia="仿宋" w:cs="仿宋"/>
          <w:sz w:val="32"/>
          <w:szCs w:val="32"/>
        </w:rPr>
        <w:t>部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（1）按工程项目的实际情况，提出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需求申请，经获准后组织实施；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（2）对工程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进行资质能力审核；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（3）在授权权限内起草、洽谈合同；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（4）配合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业务科</w:t>
      </w:r>
      <w:r>
        <w:rPr>
          <w:rFonts w:hint="eastAsia" w:ascii="仿宋" w:hAnsi="仿宋" w:eastAsia="仿宋" w:cs="仿宋"/>
          <w:sz w:val="32"/>
          <w:szCs w:val="32"/>
        </w:rPr>
        <w:t>完成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</w:rPr>
        <w:t>核算和工程结算。</w:t>
      </w:r>
    </w:p>
    <w:p>
      <w:pPr>
        <w:pStyle w:val="3"/>
        <w:spacing w:line="360" w:lineRule="auto"/>
        <w:jc w:val="center"/>
      </w:pPr>
      <w:r>
        <w:rPr>
          <w:rFonts w:hint="eastAsia"/>
        </w:rPr>
        <w:t>第三章 合格</w:t>
      </w:r>
      <w:r>
        <w:rPr>
          <w:rFonts w:hint="eastAsia"/>
          <w:lang w:eastAsia="zh-CN"/>
        </w:rPr>
        <w:t>材料供应商</w:t>
      </w:r>
      <w:r>
        <w:rPr>
          <w:rFonts w:hint="eastAsia"/>
        </w:rPr>
        <w:t>准入管理</w:t>
      </w:r>
    </w:p>
    <w:p>
      <w:pPr>
        <w:spacing w:line="360" w:lineRule="auto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材料供应商</w:t>
      </w:r>
      <w:r>
        <w:rPr>
          <w:rFonts w:hint="eastAsia" w:ascii="仿宋" w:hAnsi="仿宋" w:eastAsia="仿宋" w:cs="仿宋"/>
          <w:sz w:val="32"/>
          <w:szCs w:val="32"/>
        </w:rPr>
        <w:t>的选择条件和方式详见公司《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施工分包（供）商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入库管理细则</w:t>
      </w:r>
      <w:r>
        <w:rPr>
          <w:rFonts w:hint="eastAsia" w:ascii="仿宋" w:hAnsi="仿宋" w:eastAsia="仿宋" w:cs="仿宋"/>
          <w:sz w:val="32"/>
          <w:szCs w:val="32"/>
        </w:rPr>
        <w:t>》。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 xml:space="preserve"> 注册并经核准进入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平台的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材料供应商</w:t>
      </w:r>
      <w:r>
        <w:rPr>
          <w:rFonts w:hint="eastAsia" w:ascii="仿宋" w:hAnsi="仿宋" w:eastAsia="仿宋" w:cs="仿宋"/>
          <w:sz w:val="32"/>
          <w:szCs w:val="32"/>
        </w:rPr>
        <w:t>必须具备以下条件并向公司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经营科</w:t>
      </w:r>
      <w:r>
        <w:rPr>
          <w:rFonts w:hint="eastAsia" w:ascii="仿宋" w:hAnsi="仿宋" w:eastAsia="仿宋" w:cs="仿宋"/>
          <w:sz w:val="32"/>
          <w:szCs w:val="32"/>
        </w:rPr>
        <w:t>提交以下资料：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（一）持有与承揽业务相应的营业执照（副本）、资质等级证书、安全生产许可证、企业简介以及财务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审计报告</w:t>
      </w:r>
      <w:r>
        <w:rPr>
          <w:rFonts w:hint="eastAsia" w:ascii="仿宋" w:hAnsi="仿宋" w:eastAsia="仿宋" w:cs="仿宋"/>
          <w:sz w:val="32"/>
          <w:szCs w:val="32"/>
        </w:rPr>
        <w:t>等资料。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（二）能够体现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供应商材料质量、</w:t>
      </w:r>
      <w:r>
        <w:rPr>
          <w:rFonts w:hint="eastAsia" w:ascii="仿宋" w:hAnsi="仿宋" w:eastAsia="仿宋" w:cs="仿宋"/>
          <w:sz w:val="32"/>
          <w:szCs w:val="32"/>
        </w:rPr>
        <w:t>能力、良好的施工业绩、信誉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相关资料。</w:t>
      </w:r>
    </w:p>
    <w:p>
      <w:pPr>
        <w:pStyle w:val="3"/>
        <w:spacing w:line="360" w:lineRule="auto"/>
        <w:jc w:val="center"/>
      </w:pPr>
      <w:r>
        <w:rPr>
          <w:rFonts w:hint="eastAsia"/>
        </w:rPr>
        <w:t>第四章 履约过程管理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 xml:space="preserve"> 所有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必须具有企业法人资格。禁止订立与已签合同实质性内容相悖的其它协议。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</w:rPr>
        <w:t xml:space="preserve"> 加强对合同中涉及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</w:rPr>
        <w:t>价款支付条款约定，包括工程进度款支付时间、支付节点及支付比例、履约保证金等。在履约过程中，当工程因设计变更等发生变化或工程进度发生变化时，现场的工程项目部应对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提出相应变更要求，并形成文字记录。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第九条</w:t>
      </w:r>
      <w:r>
        <w:rPr>
          <w:rFonts w:hint="eastAsia" w:ascii="仿宋" w:hAnsi="仿宋" w:eastAsia="仿宋" w:cs="仿宋"/>
          <w:sz w:val="32"/>
          <w:szCs w:val="32"/>
        </w:rPr>
        <w:t xml:space="preserve"> 项目实施前，工程项目部应对各专业分包的方案，从施工工艺、施工程序、施工现场布置等方面进行综合评价、优化，形成最佳方案。合理安排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所承揽的施工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部位</w:t>
      </w:r>
      <w:r>
        <w:rPr>
          <w:rFonts w:hint="eastAsia" w:ascii="仿宋" w:hAnsi="仿宋" w:eastAsia="仿宋" w:cs="仿宋"/>
          <w:sz w:val="32"/>
          <w:szCs w:val="32"/>
        </w:rPr>
        <w:t>,建立施工现场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的审批制度；以确保施工作业处于最佳状态、最佳秩序。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第十条</w:t>
      </w:r>
      <w:r>
        <w:rPr>
          <w:rFonts w:hint="eastAsia" w:ascii="仿宋" w:hAnsi="仿宋" w:eastAsia="仿宋" w:cs="仿宋"/>
          <w:sz w:val="32"/>
          <w:szCs w:val="32"/>
        </w:rPr>
        <w:t xml:space="preserve"> 总进度计划中应标明各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最迟应开始的时间及最迟应完成的时间，同时注明关键工序的节点工期。总进度计划一旦确定，所有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所承揽工程的工期及节点时间均应作为分包合同约定内容。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第十一条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必须自行完成承揽的工程业务，不得再分包或转包。一经发现，企业可就合同条款对其进行相关处罚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取消其合格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第十二条</w:t>
      </w:r>
      <w:r>
        <w:rPr>
          <w:rFonts w:hint="eastAsia" w:ascii="仿宋" w:hAnsi="仿宋" w:eastAsia="仿宋" w:cs="仿宋"/>
          <w:sz w:val="32"/>
          <w:szCs w:val="32"/>
        </w:rPr>
        <w:t xml:space="preserve"> 着重对施工合同履约情况的动态监管和跟踪管理，核查合同的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未经批准擅自更换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厚度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材质</w:t>
      </w:r>
      <w:r>
        <w:rPr>
          <w:rFonts w:hint="eastAsia" w:ascii="仿宋" w:hAnsi="仿宋" w:eastAsia="仿宋" w:cs="仿宋"/>
          <w:sz w:val="32"/>
          <w:szCs w:val="32"/>
        </w:rPr>
        <w:t>等问题。在整个合同的履约过程中，各所属企业应该对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进行履约检查（中途评价）。若检查结果与合同履约出现偏差，各所属企业负责人要及时与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的负责人谈话，并要求实施纠正措施，确保总合同全面履行。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第十三条</w:t>
      </w:r>
      <w:r>
        <w:rPr>
          <w:rFonts w:hint="eastAsia" w:ascii="仿宋" w:hAnsi="仿宋" w:eastAsia="仿宋" w:cs="仿宋"/>
          <w:sz w:val="32"/>
          <w:szCs w:val="32"/>
        </w:rPr>
        <w:t xml:space="preserve"> 合同的承包人若出现质量、进度、安全和环保等严重问题，应采取有效措施进行整改，对难以满足质量、进度、安全和环保等要求的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可解除合同，取消其合格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资格，并依照合同相关条款进行处罚。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材料供应商</w:t>
      </w:r>
      <w:r>
        <w:rPr>
          <w:rFonts w:hint="eastAsia" w:ascii="仿宋" w:hAnsi="仿宋" w:eastAsia="仿宋" w:cs="仿宋"/>
          <w:sz w:val="32"/>
          <w:szCs w:val="32"/>
        </w:rPr>
        <w:t>在合同履行过程中发生下述情况之一时，按照合同约定追究其违约责任，情节严重的，取消其资格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2年内不得再申请加入公司的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供应商资源库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（一）采取不正当竞争手段，拉拢、贿赂企业人员或与其他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恶意串通，扰乱企业内部经营管理秩序的；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（二）出现材料质量问题拒不整改或发生严重质量事故的；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（三）多次出现严重安全隐患拒不整改或发生一般以上安全责任事故的；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（四）拒不执行企业的管理指令，致使工程质量、安全、工期、文明施工、治安、消防、用工管理等方面出现严重问题，受到主管部门、建设单位、监理单位处罚的；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）不履行或不完全履行合同约定的义务，经督促、协商后仍不履行或以自己的行为明确表示不履行合同义务的；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）在合同结算中恶意高估冒算或有其他合同欺诈行为的；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）与企业人员或其他单位、人员串通，实施欺诈，损害企业利益的；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）有严重违反廉政规定或《廉政协议》的行为，按照企业规定，认定为需告诫或清退的；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）因不诚信行为或不良商业记录被政府有关部门、公司或企业列入不合格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名单的；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（十）在企业组织的分包商履约考核中，综合评分不合格，明显不能胜任企业合格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的；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）伪造、盗用或擅自使用企业各类印章、证件、文书，引起经济、法律纠纷，损害或可能损害企业利益的；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的其他违约行为造成企业严重经济损失和恶劣社会影响的；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）有其他违反法律、法规、规章和规范性文件明令禁止的行为，或实施损害企业利益行为的；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）对无故不参加约谈或约谈无效的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，实施重点监管；对拒不采取纠正措施的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，按照有关规定严肃处理。</w:t>
      </w:r>
    </w:p>
    <w:p>
      <w:pPr>
        <w:pStyle w:val="3"/>
        <w:spacing w:line="520" w:lineRule="exact"/>
        <w:jc w:val="center"/>
      </w:pPr>
      <w:r>
        <w:rPr>
          <w:rFonts w:hint="eastAsia"/>
        </w:rPr>
        <w:t>第五章 业绩评定管理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业绩评定管理是指公司在使用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过程中，对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的基本情况、资源配置、工程进度、施工安全、工程质量、现场文明施工、综合管理等多方面定期进行的考核和评价活动。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十六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材料、设备供应商考核评价内容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（一）供货服务占20分，主要对供货服务的各个阶段主动性、及时性、配合性、积极性的评价。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（二）质量管理占25分，包括材料设备供货质量、包装、检测、资料等内容。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（三）进度管理占15分，包括材料设备到货时间、进度配合、验收配合等内容。</w:t>
      </w:r>
      <w:bookmarkStart w:id="2" w:name="_GoBack"/>
      <w:bookmarkEnd w:id="2"/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（四）安全文明施工占15分，包括材料设备安全管理措施、文明施工管理等内容。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（五）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沟通协调占15分，包括</w:t>
      </w:r>
      <w:r>
        <w:rPr>
          <w:rFonts w:hint="eastAsia" w:ascii="仿宋" w:hAnsi="仿宋" w:eastAsia="仿宋" w:cs="仿宋"/>
          <w:sz w:val="32"/>
          <w:szCs w:val="32"/>
        </w:rPr>
        <w:t>积极加快进度需求按要求提供所需材料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配合完成材料设备结算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售后服务占10分，包括材料设备售后措施、保养、维修等内容。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考核评价详细内容及分值具体见《工程材料、设备供应商评价表》，详见附件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七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公司工程管理人员应当秉公办事，坚持原则，尽职尽责，廉洁自律，严禁对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材料供应商</w:t>
      </w:r>
      <w:r>
        <w:rPr>
          <w:rFonts w:hint="eastAsia" w:ascii="仿宋" w:hAnsi="仿宋" w:eastAsia="仿宋" w:cs="仿宋"/>
          <w:sz w:val="32"/>
          <w:szCs w:val="32"/>
        </w:rPr>
        <w:t>吃、拿、卡、要，索贿受贿，如有违反者，按公司有关规定处理。对在分包工程管理中给企业造成损失的单位、个人，视其情节轻重追究责任。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bookmarkStart w:id="0" w:name="_Toc324836052"/>
      <w:bookmarkStart w:id="1" w:name="_Toc325460482"/>
      <w:r>
        <w:rPr>
          <w:rFonts w:hint="eastAsia" w:ascii="楷体" w:hAnsi="楷体" w:eastAsia="楷体" w:cs="楷体"/>
          <w:b/>
          <w:bCs/>
          <w:sz w:val="32"/>
          <w:szCs w:val="32"/>
        </w:rPr>
        <w:t>第二十条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bookmarkEnd w:id="0"/>
      <w:bookmarkEnd w:id="1"/>
      <w:r>
        <w:rPr>
          <w:rFonts w:hint="eastAsia" w:ascii="仿宋" w:hAnsi="仿宋" w:eastAsia="仿宋" w:cs="仿宋"/>
          <w:sz w:val="32"/>
          <w:szCs w:val="32"/>
        </w:rPr>
        <w:t>所有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材料供应商</w:t>
      </w:r>
      <w:r>
        <w:rPr>
          <w:rFonts w:hint="eastAsia" w:ascii="仿宋" w:hAnsi="仿宋" w:eastAsia="仿宋" w:cs="仿宋"/>
          <w:sz w:val="32"/>
          <w:szCs w:val="32"/>
        </w:rPr>
        <w:t>必须严格执行国家、建设单位、企业的有关规定，不准有弄虚作假等欺诈行为，不准送礼行贿。在施工中发现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材料供应商</w:t>
      </w:r>
      <w:r>
        <w:rPr>
          <w:rFonts w:hint="eastAsia" w:ascii="仿宋" w:hAnsi="仿宋" w:eastAsia="仿宋" w:cs="仿宋"/>
          <w:sz w:val="32"/>
          <w:szCs w:val="32"/>
        </w:rPr>
        <w:t>有违法、违纪行为者，将其清退出场，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内部永久性不再与其合作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取消其合格分包商资格。</w:t>
      </w:r>
    </w:p>
    <w:p>
      <w:pPr>
        <w:spacing w:line="52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 档案资料管理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条</w:t>
      </w:r>
      <w:r>
        <w:rPr>
          <w:rFonts w:hint="eastAsia" w:ascii="仿宋" w:hAnsi="仿宋" w:eastAsia="仿宋" w:cs="仿宋"/>
          <w:sz w:val="32"/>
          <w:szCs w:val="32"/>
        </w:rPr>
        <w:t xml:space="preserve"> 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施工技术科</w:t>
      </w:r>
      <w:r>
        <w:rPr>
          <w:rFonts w:hint="eastAsia" w:ascii="仿宋" w:hAnsi="仿宋" w:eastAsia="仿宋" w:cs="仿宋"/>
          <w:sz w:val="32"/>
          <w:szCs w:val="32"/>
        </w:rPr>
        <w:t>负责收集整理在工程开工到竣工交付期间所有的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材料供应商</w:t>
      </w:r>
      <w:r>
        <w:rPr>
          <w:rFonts w:hint="eastAsia" w:ascii="仿宋" w:hAnsi="仿宋" w:eastAsia="仿宋" w:cs="仿宋"/>
          <w:sz w:val="32"/>
          <w:szCs w:val="32"/>
        </w:rPr>
        <w:t>的相关资料。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（一）归档范围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对今后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材料供应商</w:t>
      </w:r>
      <w:r>
        <w:rPr>
          <w:rFonts w:hint="eastAsia" w:ascii="仿宋" w:hAnsi="仿宋" w:eastAsia="仿宋" w:cs="仿宋"/>
          <w:sz w:val="32"/>
          <w:szCs w:val="32"/>
        </w:rPr>
        <w:t>管理具有指导和参考作用的文件（例如资质档案材料、合同、经济技术指标等履约材料和业绩评价资料等）、账簿、照片、录音、录像以及其他具有保存价值的资料，均要立卷、归档，由公司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施工技术科</w:t>
      </w:r>
      <w:r>
        <w:rPr>
          <w:rFonts w:hint="eastAsia" w:ascii="仿宋" w:hAnsi="仿宋" w:eastAsia="仿宋" w:cs="仿宋"/>
          <w:sz w:val="32"/>
          <w:szCs w:val="32"/>
        </w:rPr>
        <w:t>统一管理。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（二）归档要求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需归档的各类文件、资料，应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齐全、完整</w:t>
      </w:r>
      <w:r>
        <w:rPr>
          <w:rFonts w:hint="eastAsia" w:ascii="仿宋" w:hAnsi="仿宋" w:eastAsia="仿宋" w:cs="仿宋"/>
          <w:sz w:val="32"/>
          <w:szCs w:val="32"/>
        </w:rPr>
        <w:t>，签署完整，装订整齐，并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做好相关电子档案材料妥善保存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（三）资料保管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所有资料须指定专人、专柜管理，管理人员应忠于职守，遵守纪律，保守秘密。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（四）资料保存</w:t>
      </w: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所收集的资料原则上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长期</w:t>
      </w:r>
      <w:r>
        <w:rPr>
          <w:rFonts w:hint="eastAsia" w:ascii="仿宋" w:hAnsi="仿宋" w:eastAsia="仿宋" w:cs="仿宋"/>
          <w:sz w:val="32"/>
          <w:szCs w:val="32"/>
        </w:rPr>
        <w:t>保存。</w:t>
      </w:r>
    </w:p>
    <w:p>
      <w:pPr>
        <w:pStyle w:val="3"/>
        <w:spacing w:line="520" w:lineRule="exact"/>
        <w:jc w:val="center"/>
      </w:pPr>
      <w:r>
        <w:rPr>
          <w:rFonts w:hint="eastAsia"/>
        </w:rPr>
        <w:t>第七章 附  则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第二十四条</w:t>
      </w:r>
      <w:r>
        <w:rPr>
          <w:rFonts w:hint="eastAsia" w:ascii="仿宋" w:hAnsi="仿宋" w:eastAsia="仿宋" w:cs="仿宋"/>
          <w:sz w:val="32"/>
          <w:szCs w:val="32"/>
        </w:rPr>
        <w:t xml:space="preserve"> 本制度由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公司经营科</w:t>
      </w:r>
      <w:r>
        <w:rPr>
          <w:rFonts w:hint="eastAsia" w:ascii="仿宋" w:hAnsi="仿宋" w:eastAsia="仿宋" w:cs="仿宋"/>
          <w:sz w:val="32"/>
          <w:szCs w:val="32"/>
        </w:rPr>
        <w:t>负责解释，自发布之日起生效。</w:t>
      </w:r>
    </w:p>
    <w:p>
      <w:pPr>
        <w:spacing w:line="520" w:lineRule="exact"/>
        <w:ind w:firstLine="643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第二十五条</w:t>
      </w:r>
      <w:r>
        <w:rPr>
          <w:rFonts w:hint="eastAsia" w:ascii="仿宋" w:hAnsi="仿宋" w:eastAsia="仿宋" w:cs="仿宋"/>
          <w:sz w:val="32"/>
          <w:szCs w:val="32"/>
        </w:rPr>
        <w:t xml:space="preserve"> 本制度若与其他有关文件规定相悖时，按本制度执行。</w:t>
      </w:r>
    </w:p>
    <w:p>
      <w:pPr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ectPr>
          <w:footerReference r:id="rId3" w:type="default"/>
          <w:pgSz w:w="16783" w:h="11850" w:orient="landscape"/>
          <w:pgMar w:top="1440" w:right="1800" w:bottom="1440" w:left="1800" w:header="851" w:footer="992" w:gutter="0"/>
          <w:pgNumType w:fmt="numberInDash" w:chapStyle="1"/>
          <w:cols w:space="0" w:num="1"/>
          <w:docGrid w:type="lines" w:linePitch="317" w:charSpace="0"/>
        </w:sect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《工程材料、设备供应商考核评价表》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供应商名称：                                   所在公司及项目部名称：</w:t>
      </w:r>
    </w:p>
    <w:tbl>
      <w:tblPr>
        <w:tblStyle w:val="8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030"/>
        <w:gridCol w:w="2294"/>
        <w:gridCol w:w="1536"/>
        <w:gridCol w:w="804"/>
        <w:gridCol w:w="96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施工现场负责人</w:t>
            </w:r>
          </w:p>
        </w:tc>
        <w:tc>
          <w:tcPr>
            <w:tcW w:w="22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供应内容</w:t>
            </w:r>
          </w:p>
        </w:tc>
        <w:tc>
          <w:tcPr>
            <w:tcW w:w="316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考核项目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考核标准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标准分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考核得分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考核意见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（存在问题）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供货服务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（20分）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材料、设备选型过程中配合的主动性、积极性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通知甲方到货时间的及时性、主动性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安排人员到场协调交接、验收工作的及时性、主动性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提供备品备件至施工现场数量充足性、及时性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按合同或现场要求组织验货的主动性、及时性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配合安装、调试、验收工作的主动性、及时性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配合产品调整（退、换、补货等）的主动性、及时性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质量管理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（25分）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到货数量、规格、型号与供货合同约定及现场要求的符合性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产品包装和外观检查结果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到货产品与封样的一致性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随货提供的合格证、铭牌等相关证书的完整性、及时性以及与规范和合同的符合性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产品是否为全新未使用、符合合同要求的质量和性能要求的符合性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辅材、辅助设备和专用工具配备的齐全性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第三方检测机构出具的检测报告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产品保护措施规范合理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进度管理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（15分）</w:t>
            </w: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按合同约定的时间、地点，各批次产品的到货情况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按甲方要求调整到货时间的配合情况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出现退换货时，对工程进度的保证情况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3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安装完成后，配合甲方/小业主验收情况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rPr>
          <w:sz w:val="18"/>
          <w:szCs w:val="18"/>
        </w:rPr>
      </w:pPr>
    </w:p>
    <w:tbl>
      <w:tblPr>
        <w:tblStyle w:val="8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043"/>
        <w:gridCol w:w="2281"/>
        <w:gridCol w:w="1536"/>
        <w:gridCol w:w="804"/>
        <w:gridCol w:w="960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施工现场负责人</w:t>
            </w:r>
          </w:p>
        </w:tc>
        <w:tc>
          <w:tcPr>
            <w:tcW w:w="22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供应内容</w:t>
            </w:r>
          </w:p>
        </w:tc>
        <w:tc>
          <w:tcPr>
            <w:tcW w:w="317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考核项目</w:t>
            </w:r>
          </w:p>
        </w:tc>
        <w:tc>
          <w:tcPr>
            <w:tcW w:w="381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考核标准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标准分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考核得分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考核意见（存在问题）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安全文明施工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（15分）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材料设备搬运、装卸、堆放整齐有序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材料设备施工安装规范，流程合理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安全管理措施规范有效，无安全事故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沟通协调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（15分）</w:t>
            </w:r>
          </w:p>
        </w:tc>
        <w:tc>
          <w:tcPr>
            <w:tcW w:w="381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对甲方的指令积极响应，并按要求完成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积极协同、配合甲方进行和项目有关的政府部门及村民的公关工作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配合进度节点的需要，积极加快进度需求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配合完成材料设备结算及备案工作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按合同约定的要求提供付款所需材料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1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4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售后服务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（10分）</w:t>
            </w:r>
          </w:p>
        </w:tc>
        <w:tc>
          <w:tcPr>
            <w:tcW w:w="381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售后服务措施完善，执行规范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提供售后保养、维修服务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1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售后服务的及时性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7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一票否决</w:t>
            </w:r>
          </w:p>
        </w:tc>
        <w:tc>
          <w:tcPr>
            <w:tcW w:w="3817" w:type="dxa"/>
            <w:gridSpan w:val="2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有下列行为之一的，本次考核评价为不合格：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发生重大责任质量安全事故、造成重大损失、发生死亡事故中负有主要责任的。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因材料或设备款支付导致群体性讨薪事件造成恶劣社会影响的。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因供应商原因导致工程进度滞后，拒不按照项目部要求增加施工人员或增加工作时间进行赶工的。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7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　计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100分</w:t>
            </w:r>
          </w:p>
        </w:tc>
        <w:tc>
          <w:tcPr>
            <w:tcW w:w="96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项目部经理：　　　　　　　供应商负责人：　　　　　　考核人：　　　　　检查日期：</w:t>
      </w:r>
    </w:p>
    <w:p/>
    <w:p>
      <w:pPr>
        <w:jc w:val="center"/>
        <w:sectPr>
          <w:pgSz w:w="11850" w:h="16783"/>
          <w:pgMar w:top="1440" w:right="1800" w:bottom="1440" w:left="1800" w:header="851" w:footer="992" w:gutter="0"/>
          <w:pgNumType w:fmt="numberInDash" w:chapStyle="1"/>
          <w:cols w:space="0" w:num="1"/>
          <w:docGrid w:type="lines" w:linePitch="317" w:charSpace="0"/>
        </w:sectPr>
      </w:pPr>
      <w:r>
        <w:rPr>
          <w:rFonts w:hint="eastAsia"/>
        </w:rPr>
        <w:br w:type="page"/>
      </w:r>
    </w:p>
    <w:p>
      <w:pPr>
        <w:jc w:val="center"/>
        <w:rPr>
          <w:rStyle w:val="11"/>
          <w:rFonts w:hint="eastAsia" w:ascii="方正小标宋简体" w:hAnsi="方正小标宋简体" w:eastAsia="方正小标宋简体" w:cs="方正小标宋简体"/>
        </w:rPr>
      </w:pPr>
      <w:r>
        <w:rPr>
          <w:rStyle w:val="11"/>
          <w:rFonts w:hint="eastAsia" w:ascii="方正小标宋简体" w:hAnsi="方正小标宋简体" w:eastAsia="方正小标宋简体" w:cs="方正小标宋简体"/>
        </w:rPr>
        <w:t>合格供应商名录</w:t>
      </w:r>
    </w:p>
    <w:p>
      <w:pPr>
        <w:jc w:val="center"/>
        <w:rPr>
          <w:rStyle w:val="11"/>
          <w:rFonts w:hint="eastAsia" w:ascii="方正小标宋简体" w:hAnsi="方正小标宋简体" w:eastAsia="方正小标宋简体" w:cs="方正小标宋简体"/>
        </w:rPr>
      </w:pPr>
    </w:p>
    <w:tbl>
      <w:tblPr>
        <w:tblStyle w:val="8"/>
        <w:tblW w:w="13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164"/>
        <w:gridCol w:w="4294"/>
        <w:gridCol w:w="1481"/>
        <w:gridCol w:w="1294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1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4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供应内容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供应商名称</w:t>
            </w:r>
          </w:p>
          <w:p>
            <w:pPr>
              <w:jc w:val="center"/>
            </w:pPr>
            <w:r>
              <w:rPr>
                <w:rFonts w:hint="eastAsia"/>
              </w:rPr>
              <w:t>（负责人）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vAlign w:val="center"/>
          </w:tcPr>
          <w:p/>
        </w:tc>
        <w:tc>
          <w:tcPr>
            <w:tcW w:w="4164" w:type="dxa"/>
            <w:vAlign w:val="center"/>
          </w:tcPr>
          <w:p/>
        </w:tc>
        <w:tc>
          <w:tcPr>
            <w:tcW w:w="4294" w:type="dxa"/>
            <w:vAlign w:val="center"/>
          </w:tcPr>
          <w:p/>
        </w:tc>
        <w:tc>
          <w:tcPr>
            <w:tcW w:w="1481" w:type="dxa"/>
            <w:vAlign w:val="center"/>
          </w:tcPr>
          <w:p/>
        </w:tc>
        <w:tc>
          <w:tcPr>
            <w:tcW w:w="1294" w:type="dxa"/>
            <w:vAlign w:val="center"/>
          </w:tcPr>
          <w:p/>
        </w:tc>
        <w:tc>
          <w:tcPr>
            <w:tcW w:w="189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vAlign w:val="center"/>
          </w:tcPr>
          <w:p/>
        </w:tc>
        <w:tc>
          <w:tcPr>
            <w:tcW w:w="4164" w:type="dxa"/>
            <w:vAlign w:val="center"/>
          </w:tcPr>
          <w:p/>
        </w:tc>
        <w:tc>
          <w:tcPr>
            <w:tcW w:w="4294" w:type="dxa"/>
            <w:vAlign w:val="center"/>
          </w:tcPr>
          <w:p/>
        </w:tc>
        <w:tc>
          <w:tcPr>
            <w:tcW w:w="1481" w:type="dxa"/>
            <w:vAlign w:val="center"/>
          </w:tcPr>
          <w:p/>
        </w:tc>
        <w:tc>
          <w:tcPr>
            <w:tcW w:w="1294" w:type="dxa"/>
            <w:vAlign w:val="center"/>
          </w:tcPr>
          <w:p/>
        </w:tc>
        <w:tc>
          <w:tcPr>
            <w:tcW w:w="189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vAlign w:val="center"/>
          </w:tcPr>
          <w:p/>
        </w:tc>
        <w:tc>
          <w:tcPr>
            <w:tcW w:w="4164" w:type="dxa"/>
            <w:vAlign w:val="center"/>
          </w:tcPr>
          <w:p/>
        </w:tc>
        <w:tc>
          <w:tcPr>
            <w:tcW w:w="4294" w:type="dxa"/>
            <w:vAlign w:val="center"/>
          </w:tcPr>
          <w:p/>
        </w:tc>
        <w:tc>
          <w:tcPr>
            <w:tcW w:w="1481" w:type="dxa"/>
            <w:vAlign w:val="center"/>
          </w:tcPr>
          <w:p/>
        </w:tc>
        <w:tc>
          <w:tcPr>
            <w:tcW w:w="1294" w:type="dxa"/>
            <w:vAlign w:val="center"/>
          </w:tcPr>
          <w:p/>
        </w:tc>
        <w:tc>
          <w:tcPr>
            <w:tcW w:w="189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vAlign w:val="center"/>
          </w:tcPr>
          <w:p/>
        </w:tc>
        <w:tc>
          <w:tcPr>
            <w:tcW w:w="4164" w:type="dxa"/>
            <w:vAlign w:val="center"/>
          </w:tcPr>
          <w:p/>
        </w:tc>
        <w:tc>
          <w:tcPr>
            <w:tcW w:w="4294" w:type="dxa"/>
            <w:vAlign w:val="center"/>
          </w:tcPr>
          <w:p/>
        </w:tc>
        <w:tc>
          <w:tcPr>
            <w:tcW w:w="1481" w:type="dxa"/>
            <w:vAlign w:val="center"/>
          </w:tcPr>
          <w:p/>
        </w:tc>
        <w:tc>
          <w:tcPr>
            <w:tcW w:w="1294" w:type="dxa"/>
            <w:vAlign w:val="center"/>
          </w:tcPr>
          <w:p/>
        </w:tc>
        <w:tc>
          <w:tcPr>
            <w:tcW w:w="189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vAlign w:val="center"/>
          </w:tcPr>
          <w:p/>
        </w:tc>
        <w:tc>
          <w:tcPr>
            <w:tcW w:w="4164" w:type="dxa"/>
            <w:vAlign w:val="center"/>
          </w:tcPr>
          <w:p/>
        </w:tc>
        <w:tc>
          <w:tcPr>
            <w:tcW w:w="4294" w:type="dxa"/>
            <w:vAlign w:val="center"/>
          </w:tcPr>
          <w:p/>
        </w:tc>
        <w:tc>
          <w:tcPr>
            <w:tcW w:w="1481" w:type="dxa"/>
            <w:vAlign w:val="center"/>
          </w:tcPr>
          <w:p/>
        </w:tc>
        <w:tc>
          <w:tcPr>
            <w:tcW w:w="1294" w:type="dxa"/>
            <w:vAlign w:val="center"/>
          </w:tcPr>
          <w:p/>
        </w:tc>
        <w:tc>
          <w:tcPr>
            <w:tcW w:w="189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1" w:type="dxa"/>
            <w:vAlign w:val="center"/>
          </w:tcPr>
          <w:p/>
        </w:tc>
        <w:tc>
          <w:tcPr>
            <w:tcW w:w="4164" w:type="dxa"/>
            <w:vAlign w:val="center"/>
          </w:tcPr>
          <w:p/>
        </w:tc>
        <w:tc>
          <w:tcPr>
            <w:tcW w:w="4294" w:type="dxa"/>
            <w:vAlign w:val="center"/>
          </w:tcPr>
          <w:p/>
        </w:tc>
        <w:tc>
          <w:tcPr>
            <w:tcW w:w="1481" w:type="dxa"/>
            <w:vAlign w:val="center"/>
          </w:tcPr>
          <w:p/>
        </w:tc>
        <w:tc>
          <w:tcPr>
            <w:tcW w:w="1294" w:type="dxa"/>
            <w:vAlign w:val="center"/>
          </w:tcPr>
          <w:p/>
        </w:tc>
        <w:tc>
          <w:tcPr>
            <w:tcW w:w="1894" w:type="dxa"/>
            <w:vAlign w:val="center"/>
          </w:tcPr>
          <w:p/>
        </w:tc>
      </w:tr>
    </w:tbl>
    <w:p>
      <w:pPr>
        <w:sectPr>
          <w:pgSz w:w="16783" w:h="11850" w:orient="landscape"/>
          <w:pgMar w:top="1440" w:right="1800" w:bottom="1440" w:left="1800" w:header="851" w:footer="992" w:gutter="0"/>
          <w:pgNumType w:fmt="numberInDash" w:chapStyle="1"/>
          <w:cols w:space="0" w:num="1"/>
          <w:docGrid w:type="lines" w:linePitch="317" w:charSpace="0"/>
        </w:sect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不合格供应商名录</w:t>
      </w:r>
    </w:p>
    <w:p/>
    <w:tbl>
      <w:tblPr>
        <w:tblStyle w:val="8"/>
        <w:tblW w:w="14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44"/>
        <w:gridCol w:w="2012"/>
        <w:gridCol w:w="1575"/>
        <w:gridCol w:w="2137"/>
        <w:gridCol w:w="2738"/>
        <w:gridCol w:w="2016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0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法定代表人</w:t>
            </w:r>
          </w:p>
          <w:p>
            <w:pPr>
              <w:jc w:val="center"/>
            </w:pPr>
            <w:r>
              <w:rPr>
                <w:rFonts w:hint="eastAsia"/>
              </w:rPr>
              <w:t>（姓名）</w:t>
            </w:r>
          </w:p>
          <w:p>
            <w:pPr>
              <w:jc w:val="center"/>
            </w:pPr>
            <w:r>
              <w:rPr>
                <w:rFonts w:hint="eastAsia"/>
              </w:rPr>
              <w:t>（身份证号）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营业执照编号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承担工程名称及类型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不合格主要事实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所在项目部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</w:tcPr>
          <w:p/>
        </w:tc>
        <w:tc>
          <w:tcPr>
            <w:tcW w:w="1644" w:type="dxa"/>
          </w:tcPr>
          <w:p/>
        </w:tc>
        <w:tc>
          <w:tcPr>
            <w:tcW w:w="2012" w:type="dxa"/>
          </w:tcPr>
          <w:p/>
        </w:tc>
        <w:tc>
          <w:tcPr>
            <w:tcW w:w="1575" w:type="dxa"/>
          </w:tcPr>
          <w:p/>
        </w:tc>
        <w:tc>
          <w:tcPr>
            <w:tcW w:w="2137" w:type="dxa"/>
          </w:tcPr>
          <w:p/>
        </w:tc>
        <w:tc>
          <w:tcPr>
            <w:tcW w:w="2738" w:type="dxa"/>
          </w:tcPr>
          <w:p/>
        </w:tc>
        <w:tc>
          <w:tcPr>
            <w:tcW w:w="2016" w:type="dxa"/>
          </w:tcPr>
          <w:p/>
        </w:tc>
        <w:tc>
          <w:tcPr>
            <w:tcW w:w="10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</w:tcPr>
          <w:p/>
        </w:tc>
        <w:tc>
          <w:tcPr>
            <w:tcW w:w="1644" w:type="dxa"/>
          </w:tcPr>
          <w:p/>
        </w:tc>
        <w:tc>
          <w:tcPr>
            <w:tcW w:w="2012" w:type="dxa"/>
          </w:tcPr>
          <w:p/>
        </w:tc>
        <w:tc>
          <w:tcPr>
            <w:tcW w:w="1575" w:type="dxa"/>
          </w:tcPr>
          <w:p/>
        </w:tc>
        <w:tc>
          <w:tcPr>
            <w:tcW w:w="2137" w:type="dxa"/>
          </w:tcPr>
          <w:p/>
        </w:tc>
        <w:tc>
          <w:tcPr>
            <w:tcW w:w="2738" w:type="dxa"/>
          </w:tcPr>
          <w:p/>
        </w:tc>
        <w:tc>
          <w:tcPr>
            <w:tcW w:w="2016" w:type="dxa"/>
          </w:tcPr>
          <w:p/>
        </w:tc>
        <w:tc>
          <w:tcPr>
            <w:tcW w:w="10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</w:tcPr>
          <w:p/>
        </w:tc>
        <w:tc>
          <w:tcPr>
            <w:tcW w:w="1644" w:type="dxa"/>
          </w:tcPr>
          <w:p/>
        </w:tc>
        <w:tc>
          <w:tcPr>
            <w:tcW w:w="2012" w:type="dxa"/>
          </w:tcPr>
          <w:p/>
        </w:tc>
        <w:tc>
          <w:tcPr>
            <w:tcW w:w="1575" w:type="dxa"/>
          </w:tcPr>
          <w:p/>
        </w:tc>
        <w:tc>
          <w:tcPr>
            <w:tcW w:w="2137" w:type="dxa"/>
          </w:tcPr>
          <w:p/>
        </w:tc>
        <w:tc>
          <w:tcPr>
            <w:tcW w:w="2738" w:type="dxa"/>
          </w:tcPr>
          <w:p/>
        </w:tc>
        <w:tc>
          <w:tcPr>
            <w:tcW w:w="2016" w:type="dxa"/>
          </w:tcPr>
          <w:p/>
        </w:tc>
        <w:tc>
          <w:tcPr>
            <w:tcW w:w="10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</w:tcPr>
          <w:p/>
        </w:tc>
        <w:tc>
          <w:tcPr>
            <w:tcW w:w="1644" w:type="dxa"/>
          </w:tcPr>
          <w:p/>
        </w:tc>
        <w:tc>
          <w:tcPr>
            <w:tcW w:w="2012" w:type="dxa"/>
          </w:tcPr>
          <w:p/>
        </w:tc>
        <w:tc>
          <w:tcPr>
            <w:tcW w:w="1575" w:type="dxa"/>
          </w:tcPr>
          <w:p/>
        </w:tc>
        <w:tc>
          <w:tcPr>
            <w:tcW w:w="2137" w:type="dxa"/>
          </w:tcPr>
          <w:p/>
        </w:tc>
        <w:tc>
          <w:tcPr>
            <w:tcW w:w="2738" w:type="dxa"/>
          </w:tcPr>
          <w:p/>
        </w:tc>
        <w:tc>
          <w:tcPr>
            <w:tcW w:w="2016" w:type="dxa"/>
          </w:tcPr>
          <w:p/>
        </w:tc>
        <w:tc>
          <w:tcPr>
            <w:tcW w:w="10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</w:tcPr>
          <w:p/>
        </w:tc>
        <w:tc>
          <w:tcPr>
            <w:tcW w:w="1644" w:type="dxa"/>
          </w:tcPr>
          <w:p/>
        </w:tc>
        <w:tc>
          <w:tcPr>
            <w:tcW w:w="2012" w:type="dxa"/>
          </w:tcPr>
          <w:p/>
        </w:tc>
        <w:tc>
          <w:tcPr>
            <w:tcW w:w="1575" w:type="dxa"/>
          </w:tcPr>
          <w:p/>
        </w:tc>
        <w:tc>
          <w:tcPr>
            <w:tcW w:w="2137" w:type="dxa"/>
          </w:tcPr>
          <w:p/>
        </w:tc>
        <w:tc>
          <w:tcPr>
            <w:tcW w:w="2738" w:type="dxa"/>
          </w:tcPr>
          <w:p/>
        </w:tc>
        <w:tc>
          <w:tcPr>
            <w:tcW w:w="2016" w:type="dxa"/>
          </w:tcPr>
          <w:p/>
        </w:tc>
        <w:tc>
          <w:tcPr>
            <w:tcW w:w="10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4" w:type="dxa"/>
          </w:tcPr>
          <w:p/>
        </w:tc>
        <w:tc>
          <w:tcPr>
            <w:tcW w:w="1644" w:type="dxa"/>
          </w:tcPr>
          <w:p/>
        </w:tc>
        <w:tc>
          <w:tcPr>
            <w:tcW w:w="2012" w:type="dxa"/>
          </w:tcPr>
          <w:p/>
        </w:tc>
        <w:tc>
          <w:tcPr>
            <w:tcW w:w="1575" w:type="dxa"/>
          </w:tcPr>
          <w:p/>
        </w:tc>
        <w:tc>
          <w:tcPr>
            <w:tcW w:w="2137" w:type="dxa"/>
          </w:tcPr>
          <w:p/>
        </w:tc>
        <w:tc>
          <w:tcPr>
            <w:tcW w:w="2738" w:type="dxa"/>
          </w:tcPr>
          <w:p/>
        </w:tc>
        <w:tc>
          <w:tcPr>
            <w:tcW w:w="2016" w:type="dxa"/>
          </w:tcPr>
          <w:p/>
        </w:tc>
        <w:tc>
          <w:tcPr>
            <w:tcW w:w="1059" w:type="dxa"/>
          </w:tcPr>
          <w:p/>
        </w:tc>
      </w:tr>
    </w:tbl>
    <w:p/>
    <w:sectPr>
      <w:footerReference r:id="rId4" w:type="default"/>
      <w:pgSz w:w="16783" w:h="11850" w:orient="landscape"/>
      <w:pgMar w:top="1440" w:right="1800" w:bottom="1440" w:left="1800" w:header="851" w:footer="992" w:gutter="0"/>
      <w:pgNumType w:fmt="numberInDash" w:chapStyle="1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348535-AC89-4B97-A399-2E2F99C63C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DBB1B00C-320B-4432-B8E8-5CD3D7191A7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B2A9E61-44E4-4E0D-9CCE-79AC7071E69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BA9BDE3-A128-4E10-B242-4C13469AED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- 23 -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My/XLYAQAAsQ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YzL9ctgBAACx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- 23 -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MjJlMjFmNTk3NTU1YmEyMTRjN2Q3N2VlMDk5ZmYifQ=="/>
  </w:docVars>
  <w:rsids>
    <w:rsidRoot w:val="0838091E"/>
    <w:rsid w:val="000E5A3F"/>
    <w:rsid w:val="0019786A"/>
    <w:rsid w:val="003F5B0A"/>
    <w:rsid w:val="004963B4"/>
    <w:rsid w:val="004A60B9"/>
    <w:rsid w:val="00511775"/>
    <w:rsid w:val="00537422"/>
    <w:rsid w:val="005571E7"/>
    <w:rsid w:val="00563A88"/>
    <w:rsid w:val="006A5768"/>
    <w:rsid w:val="006E78EC"/>
    <w:rsid w:val="00780F0D"/>
    <w:rsid w:val="00930B4F"/>
    <w:rsid w:val="00A858F2"/>
    <w:rsid w:val="00AB0073"/>
    <w:rsid w:val="00B525AD"/>
    <w:rsid w:val="00B94FA6"/>
    <w:rsid w:val="00FA545F"/>
    <w:rsid w:val="00FF59B9"/>
    <w:rsid w:val="015F2A20"/>
    <w:rsid w:val="016E58BD"/>
    <w:rsid w:val="017D7D19"/>
    <w:rsid w:val="018D4D3F"/>
    <w:rsid w:val="034F2928"/>
    <w:rsid w:val="03961CB1"/>
    <w:rsid w:val="03BF300D"/>
    <w:rsid w:val="03EA7B95"/>
    <w:rsid w:val="04632B4F"/>
    <w:rsid w:val="047924F1"/>
    <w:rsid w:val="051F6304"/>
    <w:rsid w:val="05AD5026"/>
    <w:rsid w:val="06E07A4C"/>
    <w:rsid w:val="07893624"/>
    <w:rsid w:val="07C73B0C"/>
    <w:rsid w:val="07D82ACA"/>
    <w:rsid w:val="07E9507F"/>
    <w:rsid w:val="0838091E"/>
    <w:rsid w:val="09382135"/>
    <w:rsid w:val="095245E6"/>
    <w:rsid w:val="09605A89"/>
    <w:rsid w:val="09631FD6"/>
    <w:rsid w:val="096D29E5"/>
    <w:rsid w:val="09CF6227"/>
    <w:rsid w:val="0A384779"/>
    <w:rsid w:val="0B1A0ADC"/>
    <w:rsid w:val="0B226E75"/>
    <w:rsid w:val="0BF739B7"/>
    <w:rsid w:val="0E2F72F9"/>
    <w:rsid w:val="0E941B6B"/>
    <w:rsid w:val="0ED610C8"/>
    <w:rsid w:val="0F7F23F7"/>
    <w:rsid w:val="100C11AA"/>
    <w:rsid w:val="101B7C28"/>
    <w:rsid w:val="101F7B5F"/>
    <w:rsid w:val="11481A28"/>
    <w:rsid w:val="1186288F"/>
    <w:rsid w:val="12053506"/>
    <w:rsid w:val="13513D94"/>
    <w:rsid w:val="13A63720"/>
    <w:rsid w:val="13C6224B"/>
    <w:rsid w:val="13D90BB8"/>
    <w:rsid w:val="15091F7C"/>
    <w:rsid w:val="15704BCF"/>
    <w:rsid w:val="158C4F64"/>
    <w:rsid w:val="15B439D8"/>
    <w:rsid w:val="173E28AC"/>
    <w:rsid w:val="18053D96"/>
    <w:rsid w:val="180E2F3E"/>
    <w:rsid w:val="19A1116F"/>
    <w:rsid w:val="1A15437F"/>
    <w:rsid w:val="1A174F38"/>
    <w:rsid w:val="1A3F5218"/>
    <w:rsid w:val="1A682E21"/>
    <w:rsid w:val="1B581800"/>
    <w:rsid w:val="1B5D6253"/>
    <w:rsid w:val="1BF95E9C"/>
    <w:rsid w:val="1D0715F3"/>
    <w:rsid w:val="1FBD5CE4"/>
    <w:rsid w:val="204B62DB"/>
    <w:rsid w:val="209E68C2"/>
    <w:rsid w:val="21B23B1C"/>
    <w:rsid w:val="227A41EA"/>
    <w:rsid w:val="234E2367"/>
    <w:rsid w:val="23D112E3"/>
    <w:rsid w:val="242D00C0"/>
    <w:rsid w:val="242E29F9"/>
    <w:rsid w:val="243B5997"/>
    <w:rsid w:val="245501D9"/>
    <w:rsid w:val="24D76964"/>
    <w:rsid w:val="25683FF5"/>
    <w:rsid w:val="265B4C3E"/>
    <w:rsid w:val="26B71B42"/>
    <w:rsid w:val="27BB6F51"/>
    <w:rsid w:val="27D2458D"/>
    <w:rsid w:val="27FD64DD"/>
    <w:rsid w:val="286660C4"/>
    <w:rsid w:val="289D44BD"/>
    <w:rsid w:val="28DA6F3E"/>
    <w:rsid w:val="290F3576"/>
    <w:rsid w:val="29BD12D4"/>
    <w:rsid w:val="2A1033CC"/>
    <w:rsid w:val="2AD00E9E"/>
    <w:rsid w:val="2B735B35"/>
    <w:rsid w:val="2D5D5F57"/>
    <w:rsid w:val="2DC30594"/>
    <w:rsid w:val="2E00248A"/>
    <w:rsid w:val="2E3D7B5F"/>
    <w:rsid w:val="2E6F6D15"/>
    <w:rsid w:val="2F344215"/>
    <w:rsid w:val="2FC777FB"/>
    <w:rsid w:val="301C3286"/>
    <w:rsid w:val="312B109D"/>
    <w:rsid w:val="32154191"/>
    <w:rsid w:val="321E387B"/>
    <w:rsid w:val="32501EE5"/>
    <w:rsid w:val="325849BF"/>
    <w:rsid w:val="333D5E5C"/>
    <w:rsid w:val="34275B87"/>
    <w:rsid w:val="35094538"/>
    <w:rsid w:val="35D06DFD"/>
    <w:rsid w:val="36741C24"/>
    <w:rsid w:val="372B5600"/>
    <w:rsid w:val="37484288"/>
    <w:rsid w:val="378330D6"/>
    <w:rsid w:val="37F35D31"/>
    <w:rsid w:val="38FD6877"/>
    <w:rsid w:val="3A2B2423"/>
    <w:rsid w:val="3B583316"/>
    <w:rsid w:val="3B7D7EC3"/>
    <w:rsid w:val="3BE56B4C"/>
    <w:rsid w:val="3C12287E"/>
    <w:rsid w:val="3C171C37"/>
    <w:rsid w:val="3C3D3EC9"/>
    <w:rsid w:val="3DAD1B98"/>
    <w:rsid w:val="3DC41BC6"/>
    <w:rsid w:val="3EA46727"/>
    <w:rsid w:val="3EC70647"/>
    <w:rsid w:val="3F203202"/>
    <w:rsid w:val="3FF83C76"/>
    <w:rsid w:val="408D39F6"/>
    <w:rsid w:val="40CA5DC8"/>
    <w:rsid w:val="4126139B"/>
    <w:rsid w:val="41C60B76"/>
    <w:rsid w:val="41CD3787"/>
    <w:rsid w:val="41D661FE"/>
    <w:rsid w:val="42984642"/>
    <w:rsid w:val="44C540FB"/>
    <w:rsid w:val="452A7B94"/>
    <w:rsid w:val="454938C5"/>
    <w:rsid w:val="47817D9B"/>
    <w:rsid w:val="48524524"/>
    <w:rsid w:val="487D3ECD"/>
    <w:rsid w:val="4ABC7CBE"/>
    <w:rsid w:val="4B20528C"/>
    <w:rsid w:val="4B82009A"/>
    <w:rsid w:val="4D5C7A23"/>
    <w:rsid w:val="4D951290"/>
    <w:rsid w:val="4E3A5535"/>
    <w:rsid w:val="4EB9657F"/>
    <w:rsid w:val="4EF262AE"/>
    <w:rsid w:val="502A6392"/>
    <w:rsid w:val="50AB5E09"/>
    <w:rsid w:val="50B81CC0"/>
    <w:rsid w:val="542A4C1C"/>
    <w:rsid w:val="551D2699"/>
    <w:rsid w:val="55390BC4"/>
    <w:rsid w:val="566C6C9A"/>
    <w:rsid w:val="56EE5313"/>
    <w:rsid w:val="576E20B5"/>
    <w:rsid w:val="57D046D5"/>
    <w:rsid w:val="58107D66"/>
    <w:rsid w:val="598E7331"/>
    <w:rsid w:val="598F0876"/>
    <w:rsid w:val="59EA3B8A"/>
    <w:rsid w:val="5A7C3FA5"/>
    <w:rsid w:val="5A8672E5"/>
    <w:rsid w:val="5AE819BE"/>
    <w:rsid w:val="5B9163B5"/>
    <w:rsid w:val="5BA36340"/>
    <w:rsid w:val="5C9012E4"/>
    <w:rsid w:val="5CC35385"/>
    <w:rsid w:val="5E4E6CB6"/>
    <w:rsid w:val="5F8C48BE"/>
    <w:rsid w:val="5FF526B4"/>
    <w:rsid w:val="61673ABC"/>
    <w:rsid w:val="61E73616"/>
    <w:rsid w:val="620668E8"/>
    <w:rsid w:val="62EB32AD"/>
    <w:rsid w:val="635E7922"/>
    <w:rsid w:val="63A73114"/>
    <w:rsid w:val="63B67A4C"/>
    <w:rsid w:val="63EF5428"/>
    <w:rsid w:val="64B8792C"/>
    <w:rsid w:val="65603054"/>
    <w:rsid w:val="668D1AAB"/>
    <w:rsid w:val="66A754BC"/>
    <w:rsid w:val="67BE2825"/>
    <w:rsid w:val="6866735F"/>
    <w:rsid w:val="6A2672DE"/>
    <w:rsid w:val="6A2C7497"/>
    <w:rsid w:val="6ABE5942"/>
    <w:rsid w:val="6B7D5941"/>
    <w:rsid w:val="6C560BD1"/>
    <w:rsid w:val="6C8E7DB0"/>
    <w:rsid w:val="6D775205"/>
    <w:rsid w:val="6DF8148B"/>
    <w:rsid w:val="6E7305DB"/>
    <w:rsid w:val="6F986BA6"/>
    <w:rsid w:val="6FE941E0"/>
    <w:rsid w:val="6FFA365B"/>
    <w:rsid w:val="70857BE1"/>
    <w:rsid w:val="70EA467B"/>
    <w:rsid w:val="737417EA"/>
    <w:rsid w:val="73E62E32"/>
    <w:rsid w:val="7471100C"/>
    <w:rsid w:val="74D95208"/>
    <w:rsid w:val="75441BEA"/>
    <w:rsid w:val="75826278"/>
    <w:rsid w:val="759D6F92"/>
    <w:rsid w:val="76676E14"/>
    <w:rsid w:val="76CF7377"/>
    <w:rsid w:val="77C51623"/>
    <w:rsid w:val="78477D4B"/>
    <w:rsid w:val="78A22B8C"/>
    <w:rsid w:val="78F46CA3"/>
    <w:rsid w:val="79CB17F3"/>
    <w:rsid w:val="7B1F141F"/>
    <w:rsid w:val="7B6E6E96"/>
    <w:rsid w:val="7B81088A"/>
    <w:rsid w:val="7C2E2028"/>
    <w:rsid w:val="7D4E6886"/>
    <w:rsid w:val="7DBC784E"/>
    <w:rsid w:val="7EE8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autoRedefine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autoRedefine/>
    <w:qFormat/>
    <w:uiPriority w:val="0"/>
    <w:rPr>
      <w:i/>
    </w:rPr>
  </w:style>
  <w:style w:type="character" w:customStyle="1" w:styleId="11">
    <w:name w:val="标题 1 Char"/>
    <w:link w:val="2"/>
    <w:autoRedefine/>
    <w:qFormat/>
    <w:uiPriority w:val="0"/>
    <w:rPr>
      <w:b/>
      <w:kern w:val="44"/>
      <w:sz w:val="44"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标题 3 Char"/>
    <w:link w:val="4"/>
    <w:autoRedefine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1695</Words>
  <Characters>9662</Characters>
  <Lines>80</Lines>
  <Paragraphs>22</Paragraphs>
  <TotalTime>61</TotalTime>
  <ScaleCrop>false</ScaleCrop>
  <LinksUpToDate>false</LinksUpToDate>
  <CharactersWithSpaces>11335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2020-06-01T23:57:00Z</dcterms:created>
  <dc:creator>屈艺</dc:creator>
  <cp:lastModifiedBy>Administrator</cp:lastModifiedBy>
  <cp:lastPrinted>2023-11-29T01:39:00Z</cp:lastPrinted>
  <dcterms:modified xsi:type="dcterms:W3CDTF">2024-04-28T01:27:25Z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8361C770C7D940A2BAC4600AD48583BA_13</vt:lpwstr>
  </property>
</Properties>
</file>